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CA" w:rsidRPr="006D066E" w:rsidRDefault="00C412CA" w:rsidP="00C412CA">
      <w:pPr>
        <w:spacing w:after="0" w:line="240" w:lineRule="auto"/>
        <w:jc w:val="center"/>
        <w:rPr>
          <w:rFonts w:ascii="Times New Roman" w:eastAsia="Calibri" w:hAnsi="Times New Roman" w:cs="Calibri"/>
          <w:b/>
          <w:bCs/>
          <w:sz w:val="18"/>
          <w:szCs w:val="18"/>
        </w:rPr>
      </w:pPr>
      <w:bookmarkStart w:id="0" w:name="_GoBack"/>
      <w:bookmarkEnd w:id="0"/>
      <w:r w:rsidRPr="006D066E">
        <w:rPr>
          <w:rFonts w:ascii="Times New Roman" w:eastAsia="Calibri" w:hAnsi="Times New Roman" w:cs="Calibri"/>
          <w:b/>
          <w:bCs/>
          <w:sz w:val="18"/>
          <w:szCs w:val="18"/>
        </w:rPr>
        <w:t>Перечень услуг ФНС России, предоставляемых в территориальных отделах</w:t>
      </w:r>
      <w:r w:rsidRPr="006D066E">
        <w:rPr>
          <w:rFonts w:ascii="Times New Roman" w:eastAsia="Calibri" w:hAnsi="Times New Roman" w:cs="Calibri"/>
          <w:b/>
          <w:bCs/>
          <w:color w:val="C0504D"/>
          <w:sz w:val="18"/>
          <w:szCs w:val="18"/>
        </w:rPr>
        <w:t xml:space="preserve"> </w:t>
      </w:r>
      <w:r w:rsidRPr="006D066E">
        <w:rPr>
          <w:rFonts w:ascii="Times New Roman" w:eastAsia="Calibri" w:hAnsi="Times New Roman" w:cs="Calibri"/>
          <w:b/>
          <w:bCs/>
          <w:sz w:val="18"/>
          <w:szCs w:val="18"/>
        </w:rPr>
        <w:t xml:space="preserve">МФЦ </w:t>
      </w:r>
    </w:p>
    <w:tbl>
      <w:tblPr>
        <w:tblW w:w="9854" w:type="dxa"/>
        <w:tblLayout w:type="fixed"/>
        <w:tblLook w:val="04A0" w:firstRow="1" w:lastRow="0" w:firstColumn="1" w:lastColumn="0" w:noHBand="0" w:noVBand="1"/>
      </w:tblPr>
      <w:tblGrid>
        <w:gridCol w:w="534"/>
        <w:gridCol w:w="9320"/>
      </w:tblGrid>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
                <w:bCs/>
                <w:sz w:val="18"/>
                <w:szCs w:val="18"/>
              </w:rPr>
            </w:pPr>
            <w:r w:rsidRPr="006D066E">
              <w:rPr>
                <w:rFonts w:ascii="Times New Roman" w:eastAsia="Calibri" w:hAnsi="Times New Roman" w:cs="Calibri"/>
                <w:b/>
                <w:bCs/>
                <w:sz w:val="18"/>
                <w:szCs w:val="18"/>
              </w:rPr>
              <w:t>№ п/п</w:t>
            </w:r>
          </w:p>
        </w:tc>
        <w:tc>
          <w:tcPr>
            <w:tcW w:w="9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
                <w:bCs/>
                <w:sz w:val="18"/>
                <w:szCs w:val="18"/>
              </w:rPr>
            </w:pPr>
            <w:r w:rsidRPr="006D066E">
              <w:rPr>
                <w:rFonts w:ascii="Times New Roman" w:eastAsia="Calibri" w:hAnsi="Times New Roman" w:cs="Calibri"/>
                <w:b/>
                <w:bCs/>
                <w:sz w:val="18"/>
                <w:szCs w:val="18"/>
              </w:rPr>
              <w:t>Наименование государственной услуги</w:t>
            </w:r>
          </w:p>
        </w:tc>
      </w:tr>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sz w:val="18"/>
                <w:szCs w:val="18"/>
              </w:rPr>
            </w:pPr>
            <w:r w:rsidRPr="006D066E">
              <w:rPr>
                <w:rFonts w:ascii="Times New Roman" w:eastAsia="Calibri" w:hAnsi="Times New Roman" w:cs="Calibri"/>
                <w:sz w:val="18"/>
                <w:szCs w:val="18"/>
              </w:rPr>
              <w:t>1.</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C412CA" w:rsidRPr="006D066E" w:rsidRDefault="00C412CA" w:rsidP="00C412CA">
            <w:pPr>
              <w:widowControl w:val="0"/>
              <w:spacing w:after="0" w:line="240" w:lineRule="auto"/>
              <w:jc w:val="both"/>
              <w:rPr>
                <w:rFonts w:ascii="Times New Roman" w:eastAsia="Calibri" w:hAnsi="Times New Roman" w:cs="Calibri"/>
                <w:sz w:val="18"/>
                <w:szCs w:val="18"/>
              </w:rPr>
            </w:pPr>
            <w:r w:rsidRPr="006D066E">
              <w:rPr>
                <w:rFonts w:ascii="Times New Roman" w:eastAsia="Calibri" w:hAnsi="Times New Roman" w:cs="Calibri"/>
                <w:sz w:val="18"/>
                <w:szCs w:val="18"/>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bl>
    <w:p w:rsidR="00C412CA" w:rsidRPr="006D066E" w:rsidRDefault="00C412CA" w:rsidP="00C412CA">
      <w:pPr>
        <w:spacing w:after="0" w:line="240" w:lineRule="auto"/>
        <w:jc w:val="center"/>
        <w:rPr>
          <w:rFonts w:ascii="Times New Roman" w:eastAsia="Calibri" w:hAnsi="Times New Roman" w:cs="Calibri"/>
          <w:b/>
          <w:bCs/>
          <w:sz w:val="18"/>
          <w:szCs w:val="18"/>
        </w:rPr>
      </w:pPr>
    </w:p>
    <w:p w:rsidR="00C412CA" w:rsidRPr="006D066E" w:rsidRDefault="00C412CA" w:rsidP="00C412CA">
      <w:pPr>
        <w:spacing w:after="0" w:line="240" w:lineRule="auto"/>
        <w:jc w:val="center"/>
        <w:rPr>
          <w:rFonts w:ascii="Times New Roman" w:eastAsia="Calibri" w:hAnsi="Times New Roman" w:cs="Calibri"/>
          <w:b/>
          <w:bCs/>
          <w:sz w:val="18"/>
          <w:szCs w:val="18"/>
        </w:rPr>
      </w:pPr>
      <w:r w:rsidRPr="006D066E">
        <w:rPr>
          <w:rFonts w:ascii="Times New Roman" w:eastAsia="Calibri" w:hAnsi="Times New Roman" w:cs="Calibri"/>
          <w:b/>
          <w:bCs/>
          <w:sz w:val="18"/>
          <w:szCs w:val="18"/>
        </w:rPr>
        <w:t xml:space="preserve">Перечень № 2. Перечень государственных услуг, предоставление которых организуется по принципу «одного окна» в территориальных отделах МФЦ в соответствии с настоящим Соглашением, </w:t>
      </w:r>
      <w:r w:rsidRPr="006D066E">
        <w:rPr>
          <w:rFonts w:ascii="Times New Roman" w:eastAsia="Calibri" w:hAnsi="Times New Roman" w:cs="Calibri"/>
          <w:b/>
          <w:bCs/>
          <w:sz w:val="18"/>
          <w:szCs w:val="18"/>
        </w:rPr>
        <w:br/>
        <w:t xml:space="preserve">результатом предоставления которых является документ, содержащий информацию </w:t>
      </w:r>
      <w:r w:rsidRPr="006D066E">
        <w:rPr>
          <w:rFonts w:ascii="Times New Roman" w:eastAsia="Calibri" w:hAnsi="Times New Roman" w:cs="Calibri"/>
          <w:b/>
          <w:bCs/>
          <w:sz w:val="18"/>
          <w:szCs w:val="18"/>
        </w:rPr>
        <w:br/>
        <w:t>из информационных систем ФНС России</w:t>
      </w:r>
    </w:p>
    <w:tbl>
      <w:tblPr>
        <w:tblW w:w="9854" w:type="dxa"/>
        <w:tblLayout w:type="fixed"/>
        <w:tblLook w:val="04A0" w:firstRow="1" w:lastRow="0" w:firstColumn="1" w:lastColumn="0" w:noHBand="0" w:noVBand="1"/>
      </w:tblPr>
      <w:tblGrid>
        <w:gridCol w:w="534"/>
        <w:gridCol w:w="9320"/>
      </w:tblGrid>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
                <w:bCs/>
                <w:sz w:val="18"/>
                <w:szCs w:val="18"/>
              </w:rPr>
            </w:pPr>
            <w:r w:rsidRPr="006D066E">
              <w:rPr>
                <w:rFonts w:ascii="Times New Roman" w:eastAsia="Calibri" w:hAnsi="Times New Roman" w:cs="Calibri"/>
                <w:b/>
                <w:bCs/>
                <w:sz w:val="18"/>
                <w:szCs w:val="18"/>
              </w:rPr>
              <w:t>№ п/п</w:t>
            </w:r>
          </w:p>
        </w:tc>
        <w:tc>
          <w:tcPr>
            <w:tcW w:w="9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
                <w:bCs/>
                <w:sz w:val="18"/>
                <w:szCs w:val="18"/>
              </w:rPr>
            </w:pPr>
            <w:r w:rsidRPr="006D066E">
              <w:rPr>
                <w:rFonts w:ascii="Times New Roman" w:eastAsia="Calibri" w:hAnsi="Times New Roman" w:cs="Calibri"/>
                <w:b/>
                <w:bCs/>
                <w:sz w:val="18"/>
                <w:szCs w:val="18"/>
              </w:rPr>
              <w:t>Наименование государственной услуги</w:t>
            </w:r>
          </w:p>
        </w:tc>
      </w:tr>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Cs/>
                <w:sz w:val="18"/>
                <w:szCs w:val="18"/>
              </w:rPr>
            </w:pPr>
            <w:r w:rsidRPr="006D066E">
              <w:rPr>
                <w:rFonts w:ascii="Times New Roman" w:eastAsia="Calibri" w:hAnsi="Times New Roman" w:cs="Calibri"/>
                <w:bCs/>
                <w:sz w:val="18"/>
                <w:szCs w:val="18"/>
              </w:rPr>
              <w:t>1.</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C412CA" w:rsidRPr="006D066E" w:rsidRDefault="00C412CA" w:rsidP="00C412CA">
            <w:pPr>
              <w:widowControl w:val="0"/>
              <w:spacing w:after="0" w:line="240" w:lineRule="auto"/>
              <w:jc w:val="both"/>
              <w:rPr>
                <w:rFonts w:ascii="Times New Roman" w:eastAsia="Calibri" w:hAnsi="Times New Roman" w:cs="Calibri"/>
                <w:sz w:val="18"/>
                <w:szCs w:val="18"/>
              </w:rPr>
            </w:pPr>
            <w:r w:rsidRPr="006D066E">
              <w:rPr>
                <w:rFonts w:ascii="Times New Roman" w:eastAsia="Calibri" w:hAnsi="Times New Roman" w:cs="Calibri"/>
                <w:sz w:val="18"/>
                <w:szCs w:val="18"/>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Cs/>
                <w:sz w:val="18"/>
                <w:szCs w:val="18"/>
              </w:rPr>
            </w:pPr>
            <w:r w:rsidRPr="006D066E">
              <w:rPr>
                <w:rFonts w:ascii="Times New Roman" w:eastAsia="Calibri" w:hAnsi="Times New Roman" w:cs="Calibri"/>
                <w:bCs/>
                <w:sz w:val="18"/>
                <w:szCs w:val="18"/>
              </w:rPr>
              <w:t>2.</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C412CA" w:rsidRPr="006D066E" w:rsidRDefault="00C412CA" w:rsidP="00C412CA">
            <w:pPr>
              <w:widowControl w:val="0"/>
              <w:spacing w:after="0" w:line="240" w:lineRule="auto"/>
              <w:jc w:val="both"/>
              <w:rPr>
                <w:rFonts w:ascii="Times New Roman" w:eastAsia="Calibri" w:hAnsi="Times New Roman" w:cs="Calibri"/>
                <w:sz w:val="18"/>
                <w:szCs w:val="18"/>
              </w:rPr>
            </w:pPr>
            <w:r w:rsidRPr="006D066E">
              <w:rPr>
                <w:rFonts w:ascii="Times New Roman" w:eastAsia="Calibri" w:hAnsi="Times New Roman" w:cs="Calibri"/>
                <w:sz w:val="18"/>
                <w:szCs w:val="18"/>
              </w:rPr>
              <w:t>Предоставление заинтересованным лицам сведений, содержащихся в реестре дисквалифицированных лиц</w:t>
            </w:r>
          </w:p>
        </w:tc>
      </w:tr>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Cs/>
                <w:sz w:val="18"/>
                <w:szCs w:val="18"/>
              </w:rPr>
            </w:pPr>
            <w:r w:rsidRPr="006D066E">
              <w:rPr>
                <w:rFonts w:ascii="Times New Roman" w:eastAsia="Calibri" w:hAnsi="Times New Roman" w:cs="Calibri"/>
                <w:bCs/>
                <w:sz w:val="18"/>
                <w:szCs w:val="18"/>
              </w:rPr>
              <w:t>3.</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C412CA" w:rsidRPr="006D066E" w:rsidRDefault="00C412CA" w:rsidP="00C412CA">
            <w:pPr>
              <w:widowControl w:val="0"/>
              <w:spacing w:after="0" w:line="240" w:lineRule="auto"/>
              <w:jc w:val="both"/>
              <w:rPr>
                <w:rFonts w:ascii="Times New Roman" w:eastAsia="Calibri" w:hAnsi="Times New Roman" w:cs="Calibri"/>
                <w:sz w:val="18"/>
                <w:szCs w:val="18"/>
              </w:rPr>
            </w:pPr>
            <w:r w:rsidRPr="006D066E">
              <w:rPr>
                <w:rFonts w:ascii="Times New Roman" w:eastAsia="Calibri" w:hAnsi="Times New Roman" w:cs="Calibri"/>
                <w:sz w:val="18"/>
                <w:szCs w:val="18"/>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C412CA" w:rsidRPr="006D066E" w:rsidTr="005F70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2CA" w:rsidRPr="006D066E" w:rsidRDefault="00C412CA" w:rsidP="00C412CA">
            <w:pPr>
              <w:widowControl w:val="0"/>
              <w:spacing w:after="0" w:line="240" w:lineRule="auto"/>
              <w:jc w:val="center"/>
              <w:rPr>
                <w:rFonts w:ascii="Times New Roman" w:eastAsia="Calibri" w:hAnsi="Times New Roman" w:cs="Calibri"/>
                <w:bCs/>
                <w:sz w:val="18"/>
                <w:szCs w:val="18"/>
              </w:rPr>
            </w:pPr>
            <w:r w:rsidRPr="006D066E">
              <w:rPr>
                <w:rFonts w:ascii="Times New Roman" w:eastAsia="Calibri" w:hAnsi="Times New Roman" w:cs="Calibri"/>
                <w:bCs/>
                <w:sz w:val="18"/>
                <w:szCs w:val="18"/>
              </w:rPr>
              <w:t>4.</w:t>
            </w:r>
          </w:p>
        </w:tc>
        <w:tc>
          <w:tcPr>
            <w:tcW w:w="9319" w:type="dxa"/>
            <w:tcBorders>
              <w:top w:val="single" w:sz="4" w:space="0" w:color="000000"/>
              <w:left w:val="single" w:sz="4" w:space="0" w:color="000000"/>
              <w:bottom w:val="single" w:sz="4" w:space="0" w:color="000000"/>
              <w:right w:val="single" w:sz="4" w:space="0" w:color="000000"/>
            </w:tcBorders>
            <w:shd w:val="clear" w:color="auto" w:fill="auto"/>
          </w:tcPr>
          <w:p w:rsidR="00C412CA" w:rsidRPr="006D066E" w:rsidRDefault="00C412CA" w:rsidP="00C412CA">
            <w:pPr>
              <w:widowControl w:val="0"/>
              <w:spacing w:after="0" w:line="240" w:lineRule="auto"/>
              <w:jc w:val="both"/>
              <w:rPr>
                <w:rFonts w:ascii="Times New Roman" w:eastAsia="Calibri" w:hAnsi="Times New Roman" w:cs="Calibri"/>
                <w:sz w:val="18"/>
                <w:szCs w:val="18"/>
              </w:rPr>
            </w:pPr>
            <w:r w:rsidRPr="006D066E">
              <w:rPr>
                <w:rFonts w:ascii="Times New Roman" w:eastAsia="Calibri" w:hAnsi="Times New Roman" w:cs="Calibri"/>
                <w:sz w:val="18"/>
                <w:szCs w:val="18"/>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bl>
    <w:p w:rsidR="00C412CA" w:rsidRPr="006D066E" w:rsidRDefault="00C412CA" w:rsidP="00C412CA">
      <w:pPr>
        <w:spacing w:after="0" w:line="240" w:lineRule="auto"/>
        <w:jc w:val="center"/>
        <w:rPr>
          <w:rFonts w:ascii="Times New Roman" w:eastAsia="Calibri" w:hAnsi="Times New Roman" w:cs="Calibri"/>
          <w:b/>
          <w:bCs/>
          <w:sz w:val="18"/>
          <w:szCs w:val="18"/>
        </w:rPr>
      </w:pPr>
    </w:p>
    <w:p w:rsidR="00C412CA" w:rsidRPr="006D066E" w:rsidRDefault="00C412CA" w:rsidP="00C412CA">
      <w:pPr>
        <w:spacing w:after="0" w:line="240" w:lineRule="auto"/>
        <w:jc w:val="center"/>
        <w:rPr>
          <w:rFonts w:ascii="Times New Roman" w:eastAsia="Times New Roman" w:hAnsi="Times New Roman" w:cs="Times New Roman"/>
          <w:b/>
          <w:sz w:val="18"/>
          <w:szCs w:val="18"/>
          <w:lang w:eastAsia="ru-RU"/>
        </w:rPr>
      </w:pPr>
      <w:r w:rsidRPr="006D066E">
        <w:rPr>
          <w:rFonts w:ascii="Times New Roman" w:eastAsia="Times New Roman" w:hAnsi="Times New Roman" w:cs="Times New Roman"/>
          <w:b/>
          <w:sz w:val="18"/>
          <w:szCs w:val="18"/>
          <w:lang w:eastAsia="ru-RU"/>
        </w:rPr>
        <w:t xml:space="preserve">Перечень № 3. Перечень иных услуг, предоставление которых организуется по принципу «одного окна» </w:t>
      </w:r>
    </w:p>
    <w:p w:rsidR="00C412CA" w:rsidRPr="006D066E" w:rsidRDefault="00C412CA" w:rsidP="00C412CA">
      <w:pPr>
        <w:spacing w:after="0" w:line="240" w:lineRule="auto"/>
        <w:jc w:val="center"/>
        <w:rPr>
          <w:rFonts w:ascii="Times New Roman" w:eastAsia="Times New Roman" w:hAnsi="Times New Roman" w:cs="Times New Roman"/>
          <w:b/>
          <w:sz w:val="18"/>
          <w:szCs w:val="18"/>
          <w:lang w:eastAsia="ru-RU"/>
        </w:rPr>
      </w:pPr>
      <w:r w:rsidRPr="006D066E">
        <w:rPr>
          <w:rFonts w:ascii="Times New Roman" w:eastAsia="Times New Roman" w:hAnsi="Times New Roman" w:cs="Times New Roman"/>
          <w:b/>
          <w:sz w:val="18"/>
          <w:szCs w:val="18"/>
          <w:lang w:eastAsia="ru-RU"/>
        </w:rPr>
        <w:t>в территориальных отделах МФЦ в соответствии с настоящим Соглашением</w:t>
      </w:r>
    </w:p>
    <w:tbl>
      <w:tblPr>
        <w:tblStyle w:val="11"/>
        <w:tblW w:w="9889" w:type="dxa"/>
        <w:tblLayout w:type="fixed"/>
        <w:tblLook w:val="04A0" w:firstRow="1" w:lastRow="0" w:firstColumn="1" w:lastColumn="0" w:noHBand="0" w:noVBand="1"/>
      </w:tblPr>
      <w:tblGrid>
        <w:gridCol w:w="534"/>
        <w:gridCol w:w="9355"/>
      </w:tblGrid>
      <w:tr w:rsidR="00C412CA" w:rsidRPr="006D066E" w:rsidTr="005F70D6">
        <w:trPr>
          <w:trHeight w:val="479"/>
        </w:trPr>
        <w:tc>
          <w:tcPr>
            <w:tcW w:w="534" w:type="dxa"/>
            <w:vAlign w:val="center"/>
          </w:tcPr>
          <w:p w:rsidR="00C412CA" w:rsidRPr="006D066E" w:rsidRDefault="00C412CA" w:rsidP="00C412CA">
            <w:pPr>
              <w:jc w:val="center"/>
              <w:rPr>
                <w:rFonts w:ascii="Times New Roman" w:hAnsi="Times New Roman"/>
                <w:b/>
                <w:sz w:val="18"/>
                <w:szCs w:val="18"/>
              </w:rPr>
            </w:pPr>
            <w:r w:rsidRPr="006D066E">
              <w:rPr>
                <w:rFonts w:ascii="Times New Roman" w:eastAsia="Times New Roman" w:hAnsi="Times New Roman" w:cs="Times New Roman"/>
                <w:b/>
                <w:sz w:val="18"/>
                <w:szCs w:val="18"/>
              </w:rPr>
              <w:t>№ п/п</w:t>
            </w:r>
          </w:p>
        </w:tc>
        <w:tc>
          <w:tcPr>
            <w:tcW w:w="9355" w:type="dxa"/>
            <w:vAlign w:val="center"/>
          </w:tcPr>
          <w:p w:rsidR="00C412CA" w:rsidRPr="006D066E" w:rsidRDefault="00C412CA" w:rsidP="00C412CA">
            <w:pPr>
              <w:jc w:val="center"/>
              <w:rPr>
                <w:rFonts w:ascii="Times New Roman" w:hAnsi="Times New Roman"/>
                <w:b/>
                <w:sz w:val="18"/>
                <w:szCs w:val="18"/>
              </w:rPr>
            </w:pPr>
            <w:r w:rsidRPr="006D066E">
              <w:rPr>
                <w:rFonts w:ascii="Times New Roman" w:eastAsia="Times New Roman" w:hAnsi="Times New Roman" w:cs="Times New Roman"/>
                <w:b/>
                <w:sz w:val="18"/>
                <w:szCs w:val="18"/>
              </w:rPr>
              <w:t>Наименование иной услуги</w:t>
            </w:r>
          </w:p>
        </w:tc>
      </w:tr>
      <w:tr w:rsidR="00C412CA" w:rsidRPr="006D066E" w:rsidTr="005F70D6">
        <w:trPr>
          <w:trHeight w:val="389"/>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1.</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C412CA" w:rsidRPr="006D066E" w:rsidTr="005F70D6">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2.</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C412CA" w:rsidRPr="006D066E" w:rsidTr="005F70D6">
        <w:trPr>
          <w:trHeight w:val="190"/>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3.</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о доступе к личному кабинету налогоплательщика для физических лиц</w:t>
            </w:r>
          </w:p>
        </w:tc>
      </w:tr>
      <w:tr w:rsidR="00C412CA" w:rsidRPr="006D066E" w:rsidTr="005F70D6">
        <w:trPr>
          <w:trHeight w:val="210"/>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4.</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о выдаче налогового уведомления</w:t>
            </w:r>
          </w:p>
        </w:tc>
      </w:tr>
      <w:tr w:rsidR="00C412CA" w:rsidRPr="006D066E" w:rsidTr="005F70D6">
        <w:trPr>
          <w:trHeight w:val="454"/>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5.</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C412CA" w:rsidRPr="006D066E" w:rsidTr="005F70D6">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6.</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C412CA" w:rsidRPr="006D066E" w:rsidTr="005F70D6">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7.</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уведомления о выбранном земельном участке, в отношении которого применяется налоговый вычет по земельному налогу</w:t>
            </w:r>
          </w:p>
        </w:tc>
      </w:tr>
      <w:tr w:rsidR="00C412CA" w:rsidRPr="006D066E" w:rsidTr="005F70D6">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8.</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о гибели или уничтожении объекта налогообложения по налогу на имущество физических лиц</w:t>
            </w:r>
          </w:p>
        </w:tc>
      </w:tr>
      <w:tr w:rsidR="00C412CA" w:rsidRPr="006D066E" w:rsidTr="005F70D6">
        <w:trPr>
          <w:trHeight w:val="200"/>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9.</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о гибели или уничтожении объекта налогообложения по транспортному налогу</w:t>
            </w:r>
          </w:p>
        </w:tc>
      </w:tr>
      <w:tr w:rsidR="00C412CA" w:rsidRPr="006D066E" w:rsidTr="005F70D6">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10.</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C412CA" w:rsidRPr="006D066E" w:rsidTr="005F70D6">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11.</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C412CA" w:rsidRPr="006D066E" w:rsidTr="005F70D6">
        <w:trPr>
          <w:trHeight w:val="1088"/>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12.</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C412CA" w:rsidRPr="006D066E" w:rsidTr="005F70D6">
        <w:trPr>
          <w:trHeight w:val="447"/>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13.</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hAnsi="Times New Roman"/>
                <w:sz w:val="18"/>
                <w:szCs w:val="18"/>
              </w:rPr>
              <w:t>Прием заявления о прекращении исчисления налога в связи с принудительным изъятием транспортного средства</w:t>
            </w:r>
          </w:p>
        </w:tc>
      </w:tr>
      <w:tr w:rsidR="00C412CA" w:rsidRPr="006D066E" w:rsidTr="005F70D6">
        <w:trPr>
          <w:trHeight w:val="397"/>
        </w:trPr>
        <w:tc>
          <w:tcPr>
            <w:tcW w:w="534" w:type="dxa"/>
            <w:vAlign w:val="center"/>
          </w:tcPr>
          <w:p w:rsidR="00C412CA" w:rsidRPr="006D066E" w:rsidRDefault="00C412CA" w:rsidP="00C412CA">
            <w:pPr>
              <w:jc w:val="center"/>
              <w:rPr>
                <w:rFonts w:ascii="Times New Roman" w:hAnsi="Times New Roman"/>
                <w:sz w:val="18"/>
                <w:szCs w:val="18"/>
              </w:rPr>
            </w:pPr>
            <w:r w:rsidRPr="006D066E">
              <w:rPr>
                <w:rFonts w:ascii="Times New Roman" w:eastAsia="Times New Roman" w:hAnsi="Times New Roman" w:cs="Times New Roman"/>
                <w:sz w:val="18"/>
                <w:szCs w:val="18"/>
              </w:rPr>
              <w:t>14.</w:t>
            </w:r>
          </w:p>
        </w:tc>
        <w:tc>
          <w:tcPr>
            <w:tcW w:w="9355" w:type="dxa"/>
          </w:tcPr>
          <w:p w:rsidR="00C412CA" w:rsidRPr="006D066E" w:rsidRDefault="00C412CA" w:rsidP="00C412CA">
            <w:pPr>
              <w:jc w:val="both"/>
              <w:rPr>
                <w:rFonts w:ascii="Times New Roman" w:hAnsi="Times New Roman"/>
                <w:sz w:val="18"/>
                <w:szCs w:val="18"/>
              </w:rPr>
            </w:pPr>
            <w:r w:rsidRPr="006D066E">
              <w:rPr>
                <w:rFonts w:ascii="Times New Roman" w:eastAsia="Times New Roman" w:hAnsi="Times New Roman" w:cs="Times New Roman"/>
                <w:sz w:val="18"/>
                <w:szCs w:val="18"/>
              </w:rPr>
              <w:t>Прием заявления на применение патентной системы налогообложения индивидуальным предпринимателем</w:t>
            </w:r>
          </w:p>
        </w:tc>
      </w:tr>
      <w:tr w:rsidR="00C412CA" w:rsidRPr="006D066E" w:rsidTr="005F70D6">
        <w:trPr>
          <w:trHeight w:val="397"/>
        </w:trPr>
        <w:tc>
          <w:tcPr>
            <w:tcW w:w="534" w:type="dxa"/>
            <w:vAlign w:val="center"/>
          </w:tcPr>
          <w:p w:rsidR="00C412CA" w:rsidRPr="006D066E" w:rsidRDefault="00C412CA" w:rsidP="00C412CA">
            <w:pPr>
              <w:jc w:val="center"/>
              <w:rPr>
                <w:rFonts w:ascii="Times New Roman" w:eastAsia="Times New Roman" w:hAnsi="Times New Roman" w:cs="Times New Roman"/>
                <w:sz w:val="18"/>
                <w:szCs w:val="18"/>
              </w:rPr>
            </w:pPr>
            <w:r w:rsidRPr="006D066E">
              <w:rPr>
                <w:rFonts w:ascii="Times New Roman" w:eastAsia="Times New Roman" w:hAnsi="Times New Roman" w:cs="Times New Roman"/>
                <w:sz w:val="18"/>
                <w:szCs w:val="18"/>
              </w:rPr>
              <w:t>15.</w:t>
            </w:r>
          </w:p>
        </w:tc>
        <w:tc>
          <w:tcPr>
            <w:tcW w:w="9355" w:type="dxa"/>
          </w:tcPr>
          <w:p w:rsidR="00C412CA" w:rsidRPr="006D066E" w:rsidRDefault="00C412CA" w:rsidP="00C412CA">
            <w:pPr>
              <w:jc w:val="both"/>
              <w:rPr>
                <w:rFonts w:ascii="Times New Roman" w:eastAsia="Times New Roman" w:hAnsi="Times New Roman" w:cs="Times New Roman"/>
                <w:sz w:val="18"/>
                <w:szCs w:val="18"/>
              </w:rPr>
            </w:pPr>
            <w:r w:rsidRPr="006D066E">
              <w:rPr>
                <w:rFonts w:ascii="Times New Roman" w:eastAsia="Times New Roman" w:hAnsi="Times New Roman" w:cs="Times New Roman"/>
                <w:sz w:val="18"/>
                <w:szCs w:val="18"/>
                <w:highlight w:val="white"/>
              </w:rPr>
              <w:t>Прием согласия налогоплательщика, плательщика сбора, плательщика страховых взносов, налогового агента на информирование о наличии задолженности</w:t>
            </w:r>
          </w:p>
        </w:tc>
      </w:tr>
    </w:tbl>
    <w:p w:rsidR="00F96610" w:rsidRDefault="00F96610" w:rsidP="006D066E"/>
    <w:sectPr w:rsidR="00F9661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E5" w:rsidRDefault="00C94BE5">
      <w:pPr>
        <w:spacing w:after="0" w:line="240" w:lineRule="auto"/>
      </w:pPr>
      <w:r>
        <w:separator/>
      </w:r>
    </w:p>
  </w:endnote>
  <w:endnote w:type="continuationSeparator" w:id="0">
    <w:p w:rsidR="00C94BE5" w:rsidRDefault="00C9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1B" w:rsidRDefault="00C94BE5">
    <w:pPr>
      <w:pStyle w:val="a4"/>
      <w:jc w:val="center"/>
      <w:rPr>
        <w:rFonts w:ascii="Times New Roman" w:eastAsia="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E5" w:rsidRDefault="00C94BE5">
      <w:pPr>
        <w:spacing w:after="0" w:line="240" w:lineRule="auto"/>
      </w:pPr>
      <w:r>
        <w:separator/>
      </w:r>
    </w:p>
  </w:footnote>
  <w:footnote w:type="continuationSeparator" w:id="0">
    <w:p w:rsidR="00C94BE5" w:rsidRDefault="00C94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CA"/>
    <w:rsid w:val="006D066E"/>
    <w:rsid w:val="007C46F4"/>
    <w:rsid w:val="00953752"/>
    <w:rsid w:val="00C412CA"/>
    <w:rsid w:val="00C94BE5"/>
    <w:rsid w:val="00F9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basedOn w:val="a0"/>
    <w:link w:val="a3"/>
    <w:uiPriority w:val="99"/>
    <w:rsid w:val="00C412CA"/>
  </w:style>
  <w:style w:type="character" w:customStyle="1" w:styleId="10">
    <w:name w:val="Нижний колонтитул Знак1"/>
    <w:link w:val="a4"/>
    <w:uiPriority w:val="99"/>
    <w:rsid w:val="00C412CA"/>
  </w:style>
  <w:style w:type="paragraph" w:styleId="a3">
    <w:name w:val="header"/>
    <w:basedOn w:val="a"/>
    <w:link w:val="1"/>
    <w:uiPriority w:val="99"/>
    <w:unhideWhenUsed/>
    <w:rsid w:val="00C412CA"/>
    <w:pPr>
      <w:tabs>
        <w:tab w:val="center" w:pos="4677"/>
        <w:tab w:val="right" w:pos="9355"/>
      </w:tabs>
      <w:spacing w:after="0" w:line="240" w:lineRule="auto"/>
    </w:pPr>
  </w:style>
  <w:style w:type="character" w:customStyle="1" w:styleId="a5">
    <w:name w:val="Верхний колонтитул Знак"/>
    <w:basedOn w:val="a0"/>
    <w:uiPriority w:val="99"/>
    <w:semiHidden/>
    <w:rsid w:val="00C412CA"/>
  </w:style>
  <w:style w:type="paragraph" w:styleId="a4">
    <w:name w:val="footer"/>
    <w:basedOn w:val="a"/>
    <w:link w:val="10"/>
    <w:uiPriority w:val="99"/>
    <w:unhideWhenUsed/>
    <w:rsid w:val="00C412CA"/>
    <w:pPr>
      <w:tabs>
        <w:tab w:val="center" w:pos="4677"/>
        <w:tab w:val="right" w:pos="9355"/>
      </w:tabs>
      <w:spacing w:after="0" w:line="240" w:lineRule="auto"/>
    </w:pPr>
  </w:style>
  <w:style w:type="character" w:customStyle="1" w:styleId="a6">
    <w:name w:val="Нижний колонтитул Знак"/>
    <w:basedOn w:val="a0"/>
    <w:uiPriority w:val="99"/>
    <w:semiHidden/>
    <w:rsid w:val="00C412CA"/>
  </w:style>
  <w:style w:type="table" w:styleId="a7">
    <w:name w:val="Table Grid"/>
    <w:basedOn w:val="a1"/>
    <w:uiPriority w:val="39"/>
    <w:rsid w:val="00C412C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uiPriority w:val="59"/>
    <w:rsid w:val="00C412C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basedOn w:val="a0"/>
    <w:link w:val="a3"/>
    <w:uiPriority w:val="99"/>
    <w:rsid w:val="00C412CA"/>
  </w:style>
  <w:style w:type="character" w:customStyle="1" w:styleId="10">
    <w:name w:val="Нижний колонтитул Знак1"/>
    <w:link w:val="a4"/>
    <w:uiPriority w:val="99"/>
    <w:rsid w:val="00C412CA"/>
  </w:style>
  <w:style w:type="paragraph" w:styleId="a3">
    <w:name w:val="header"/>
    <w:basedOn w:val="a"/>
    <w:link w:val="1"/>
    <w:uiPriority w:val="99"/>
    <w:unhideWhenUsed/>
    <w:rsid w:val="00C412CA"/>
    <w:pPr>
      <w:tabs>
        <w:tab w:val="center" w:pos="4677"/>
        <w:tab w:val="right" w:pos="9355"/>
      </w:tabs>
      <w:spacing w:after="0" w:line="240" w:lineRule="auto"/>
    </w:pPr>
  </w:style>
  <w:style w:type="character" w:customStyle="1" w:styleId="a5">
    <w:name w:val="Верхний колонтитул Знак"/>
    <w:basedOn w:val="a0"/>
    <w:uiPriority w:val="99"/>
    <w:semiHidden/>
    <w:rsid w:val="00C412CA"/>
  </w:style>
  <w:style w:type="paragraph" w:styleId="a4">
    <w:name w:val="footer"/>
    <w:basedOn w:val="a"/>
    <w:link w:val="10"/>
    <w:uiPriority w:val="99"/>
    <w:unhideWhenUsed/>
    <w:rsid w:val="00C412CA"/>
    <w:pPr>
      <w:tabs>
        <w:tab w:val="center" w:pos="4677"/>
        <w:tab w:val="right" w:pos="9355"/>
      </w:tabs>
      <w:spacing w:after="0" w:line="240" w:lineRule="auto"/>
    </w:pPr>
  </w:style>
  <w:style w:type="character" w:customStyle="1" w:styleId="a6">
    <w:name w:val="Нижний колонтитул Знак"/>
    <w:basedOn w:val="a0"/>
    <w:uiPriority w:val="99"/>
    <w:semiHidden/>
    <w:rsid w:val="00C412CA"/>
  </w:style>
  <w:style w:type="table" w:styleId="a7">
    <w:name w:val="Table Grid"/>
    <w:basedOn w:val="a1"/>
    <w:uiPriority w:val="39"/>
    <w:rsid w:val="00C412C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uiPriority w:val="59"/>
    <w:rsid w:val="00C412C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Семдяшкина Людмила Вениаминовна</dc:creator>
  <cp:lastModifiedBy>79630873330</cp:lastModifiedBy>
  <cp:revision>2</cp:revision>
  <dcterms:created xsi:type="dcterms:W3CDTF">2023-07-20T03:15:00Z</dcterms:created>
  <dcterms:modified xsi:type="dcterms:W3CDTF">2023-07-20T03:15:00Z</dcterms:modified>
</cp:coreProperties>
</file>